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14173">
      <w:pPr>
        <w:kinsoku w:val="0"/>
        <w:overflowPunct w:val="0"/>
        <w:autoSpaceDE/>
        <w:autoSpaceDN/>
        <w:adjustRightInd/>
        <w:spacing w:line="262" w:lineRule="exact"/>
        <w:jc w:val="center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RESOLUCION No. TAT-3209-2017</w:t>
      </w:r>
    </w:p>
    <w:p w:rsidR="00000000" w:rsidRDefault="00514173">
      <w:pPr>
        <w:kinsoku w:val="0"/>
        <w:overflowPunct w:val="0"/>
        <w:autoSpaceDE/>
        <w:autoSpaceDN/>
        <w:adjustRightInd/>
        <w:spacing w:before="538" w:line="268" w:lineRule="exact"/>
        <w:ind w:right="144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z w:val="22"/>
          <w:szCs w:val="22"/>
          <w:lang w:val="es-ES" w:eastAsia="es-ES"/>
        </w:rPr>
        <w:t>San José</w:t>
      </w:r>
      <w:r>
        <w:rPr>
          <w:rFonts w:ascii="Verdana" w:hAnsi="Verdana" w:cs="Verdana"/>
          <w:sz w:val="22"/>
          <w:szCs w:val="22"/>
          <w:lang w:val="es-ES" w:eastAsia="es-ES"/>
        </w:rPr>
        <w:t>, a las diez horas cincuenta y dos minutos del dos de marzo de dos mil diecisiete. -</w:t>
      </w:r>
    </w:p>
    <w:p w:rsidR="00000000" w:rsidRDefault="00514173">
      <w:pPr>
        <w:kinsoku w:val="0"/>
        <w:overflowPunct w:val="0"/>
        <w:autoSpaceDE/>
        <w:autoSpaceDN/>
        <w:adjustRightInd/>
        <w:spacing w:before="259" w:line="268" w:lineRule="exact"/>
        <w:ind w:right="144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Recurso de Apelación en subsidio, Nulidad concomitante y acción de prescripción,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interpuesto por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.E.G.R.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cédula de identidad número 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contra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artículo 7.5.3 de la Sesión Ordinaria 43-2016 de 7 de setiembre de 2016,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dictado por la Junta Directiva del Consejo de Transporte Público. El caso es tramitado en este despacho bajo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Expediente Administrativo No. TAT-198-16.</w:t>
      </w:r>
    </w:p>
    <w:p w:rsidR="00000000" w:rsidRDefault="00514173">
      <w:pPr>
        <w:kinsoku w:val="0"/>
        <w:overflowPunct w:val="0"/>
        <w:autoSpaceDE/>
        <w:autoSpaceDN/>
        <w:adjustRightInd/>
        <w:spacing w:before="528" w:line="262" w:lineRule="exact"/>
        <w:jc w:val="center"/>
        <w:textAlignment w:val="baseline"/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RESULTANDO</w:t>
      </w:r>
    </w:p>
    <w:p w:rsidR="00000000" w:rsidRDefault="00514173">
      <w:pPr>
        <w:kinsoku w:val="0"/>
        <w:overflowPunct w:val="0"/>
        <w:autoSpaceDE/>
        <w:autoSpaceDN/>
        <w:adjustRightInd/>
        <w:spacing w:before="274" w:line="267" w:lineRule="exact"/>
        <w:ind w:right="144"/>
        <w:jc w:val="both"/>
        <w:textAlignment w:val="baseline"/>
        <w:rPr>
          <w:rFonts w:ascii="Verdana" w:hAnsi="Verdana" w:cs="Verdana"/>
          <w:spacing w:val="-6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>La JUNTA DIR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 xml:space="preserve">ECTIVA DEL CONSEJO DE TRANSPORTE PÚBLICO, mediante </w:t>
      </w:r>
      <w:r>
        <w:rPr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 xml:space="preserve">artículo 7.5.1 de la Sesión Ordinaria 43-2016 de 7 de setiembre de 2016, 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 xml:space="preserve">acuerda </w:t>
      </w:r>
      <w:r>
        <w:rPr>
          <w:rFonts w:ascii="Verdana" w:hAnsi="Verdana" w:cs="Verdana"/>
          <w:i/>
          <w:iCs/>
          <w:spacing w:val="-6"/>
          <w:sz w:val="22"/>
          <w:szCs w:val="22"/>
          <w:lang w:val="es-ES" w:eastAsia="es-ES"/>
        </w:rPr>
        <w:t xml:space="preserve">"2. Archivar el procedimiento administrativo ordinario contra el señor </w:t>
      </w:r>
      <w:r>
        <w:rPr>
          <w:rFonts w:ascii="Verdana" w:hAnsi="Verdana" w:cs="Verdana"/>
          <w:b/>
          <w:bCs/>
          <w:i/>
          <w:iCs/>
          <w:spacing w:val="-6"/>
          <w:sz w:val="22"/>
          <w:szCs w:val="22"/>
          <w:lang w:val="es-ES" w:eastAsia="es-ES"/>
        </w:rPr>
        <w:t>J</w:t>
      </w:r>
      <w:r w:rsidR="008F7A45">
        <w:rPr>
          <w:rFonts w:ascii="Verdana" w:hAnsi="Verdana" w:cs="Verdana"/>
          <w:b/>
          <w:bCs/>
          <w:i/>
          <w:iCs/>
          <w:spacing w:val="-6"/>
          <w:sz w:val="22"/>
          <w:szCs w:val="22"/>
          <w:lang w:val="es-ES" w:eastAsia="es-ES"/>
        </w:rPr>
        <w:t>.C.C.M.</w:t>
      </w:r>
      <w:r>
        <w:rPr>
          <w:rFonts w:ascii="Verdana" w:hAnsi="Verdana" w:cs="Verdana"/>
          <w:b/>
          <w:bCs/>
          <w:i/>
          <w:iCs/>
          <w:spacing w:val="-6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-6"/>
          <w:sz w:val="22"/>
          <w:szCs w:val="22"/>
          <w:lang w:val="es-ES" w:eastAsia="es-ES"/>
        </w:rPr>
        <w:t>al no demostrarse vigente el</w:t>
      </w:r>
      <w:r>
        <w:rPr>
          <w:rFonts w:ascii="Verdana" w:hAnsi="Verdana" w:cs="Verdana"/>
          <w:i/>
          <w:iCs/>
          <w:spacing w:val="-6"/>
          <w:sz w:val="22"/>
          <w:szCs w:val="22"/>
          <w:lang w:val="es-ES" w:eastAsia="es-ES"/>
        </w:rPr>
        <w:t xml:space="preserve"> poder generalísimo sin límite de suma y encontrarse vigente la concesión de taxi, firmada por el señor </w:t>
      </w:r>
      <w:r>
        <w:rPr>
          <w:rFonts w:ascii="Verdana" w:hAnsi="Verdana" w:cs="Verdana"/>
          <w:b/>
          <w:bCs/>
          <w:i/>
          <w:iCs/>
          <w:spacing w:val="-6"/>
          <w:sz w:val="22"/>
          <w:szCs w:val="22"/>
          <w:lang w:val="es-ES" w:eastAsia="es-ES"/>
        </w:rPr>
        <w:t>C</w:t>
      </w:r>
      <w:r w:rsidR="008F7A45">
        <w:rPr>
          <w:rFonts w:ascii="Verdana" w:hAnsi="Verdana" w:cs="Verdana"/>
          <w:b/>
          <w:bCs/>
          <w:i/>
          <w:iCs/>
          <w:spacing w:val="-6"/>
          <w:sz w:val="22"/>
          <w:szCs w:val="22"/>
          <w:lang w:val="es-ES" w:eastAsia="es-ES"/>
        </w:rPr>
        <w:t>.M.</w:t>
      </w:r>
      <w:r>
        <w:rPr>
          <w:rFonts w:ascii="Verdana" w:hAnsi="Verdana" w:cs="Verdana"/>
          <w:b/>
          <w:bCs/>
          <w:i/>
          <w:iCs/>
          <w:spacing w:val="-6"/>
          <w:sz w:val="22"/>
          <w:szCs w:val="22"/>
          <w:lang w:val="es-ES" w:eastAsia="es-ES"/>
        </w:rPr>
        <w:t xml:space="preserve">" 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>(Léanse folios del 10 al 11 del expediente administrativo)</w:t>
      </w:r>
    </w:p>
    <w:p w:rsidR="00000000" w:rsidRDefault="00514173">
      <w:pPr>
        <w:kinsoku w:val="0"/>
        <w:overflowPunct w:val="0"/>
        <w:autoSpaceDE/>
        <w:autoSpaceDN/>
        <w:adjustRightInd/>
        <w:spacing w:before="256" w:line="268" w:lineRule="exact"/>
        <w:ind w:right="144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z w:val="22"/>
          <w:szCs w:val="22"/>
          <w:lang w:val="es-ES" w:eastAsia="es-ES"/>
        </w:rPr>
        <w:t>El recurrente presenta Recurso de Apelación indicando una serie de vic</w:t>
      </w:r>
      <w:r>
        <w:rPr>
          <w:rFonts w:ascii="Verdana" w:hAnsi="Verdana" w:cs="Verdana"/>
          <w:sz w:val="22"/>
          <w:szCs w:val="22"/>
          <w:lang w:val="es-ES" w:eastAsia="es-ES"/>
        </w:rPr>
        <w:t>ios que a su juicio comportan la nulidad del acto. (Léanse folios 7 y 8 del expediente administrativo)</w:t>
      </w:r>
    </w:p>
    <w:p w:rsidR="00000000" w:rsidRDefault="00514173">
      <w:pPr>
        <w:kinsoku w:val="0"/>
        <w:overflowPunct w:val="0"/>
        <w:autoSpaceDE/>
        <w:autoSpaceDN/>
        <w:adjustRightInd/>
        <w:spacing w:before="250" w:line="268" w:lineRule="exact"/>
        <w:ind w:right="144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TERCERO: La Junta Directiva del Consejo de Transporte Público, mediante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acuerdo 7.14.21 de la Sesión Ordinaria 60-2016 de 30 de noviembre de 2016,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conoce y avala el informe de la Dirección Asuntos Jurídicos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D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AJ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-2016003984 de 15 de noviembre de 2016 y rechaza el recurso de Revocatoria y la Nulidad invocadas por falta de Legitimación del recurrente al indicar que el acto impugnado no tiene ninguna re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lación con éste. </w:t>
      </w:r>
      <w:r>
        <w:rPr>
          <w:rFonts w:ascii="Verdana" w:hAnsi="Verdana" w:cs="Verdana"/>
          <w:sz w:val="22"/>
          <w:szCs w:val="22"/>
          <w:lang w:val="es-ES" w:eastAsia="es-ES"/>
        </w:rPr>
        <w:t>(léanse folios del 1 al 5 del expediente administrativo)</w:t>
      </w:r>
    </w:p>
    <w:p w:rsidR="00000000" w:rsidRDefault="00514173">
      <w:pPr>
        <w:kinsoku w:val="0"/>
        <w:overflowPunct w:val="0"/>
        <w:autoSpaceDE/>
        <w:autoSpaceDN/>
        <w:adjustRightInd/>
        <w:spacing w:before="288" w:after="623" w:line="268" w:lineRule="exact"/>
        <w:ind w:right="144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CUARTO: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Debido a que el acuerdo que se impugna se refiere a otra persona distinta al recurrente, este Tribunal Administrativo giró prevención al señor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.E.G.R.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>para que se refiriera al acto que le rechaza la revocatoria y al acuerdo que impugnó ( léase folio 74 del expediente), el recurrente se apersona el 3 de enero de 2017 y manifiesta al Tribunal que por un error material se consignó un número erróneo y aclara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 que el acuerdo</w:t>
      </w:r>
    </w:p>
    <w:p w:rsidR="00000000" w:rsidRDefault="00514173">
      <w:pPr>
        <w:widowControl/>
        <w:rPr>
          <w:sz w:val="24"/>
          <w:szCs w:val="24"/>
        </w:rPr>
        <w:sectPr w:rsidR="00000000">
          <w:pgSz w:w="12274" w:h="15725"/>
          <w:pgMar w:top="1480" w:right="1453" w:bottom="252" w:left="1781" w:header="720" w:footer="720" w:gutter="0"/>
          <w:cols w:space="720"/>
          <w:noEndnote/>
        </w:sectPr>
      </w:pPr>
    </w:p>
    <w:p w:rsidR="00000000" w:rsidRDefault="00514173">
      <w:pPr>
        <w:widowControl/>
        <w:rPr>
          <w:sz w:val="24"/>
          <w:szCs w:val="24"/>
        </w:rPr>
        <w:sectPr w:rsidR="00000000">
          <w:type w:val="continuous"/>
          <w:pgSz w:w="12274" w:h="15725"/>
          <w:pgMar w:top="1480" w:right="1606" w:bottom="252" w:left="7608" w:header="720" w:footer="720" w:gutter="0"/>
          <w:cols w:space="720"/>
          <w:noEndnote/>
        </w:sectPr>
      </w:pPr>
    </w:p>
    <w:p w:rsidR="00000000" w:rsidRDefault="00514173">
      <w:pPr>
        <w:kinsoku w:val="0"/>
        <w:overflowPunct w:val="0"/>
        <w:autoSpaceDE/>
        <w:autoSpaceDN/>
        <w:adjustRightInd/>
        <w:spacing w:before="40" w:line="264" w:lineRule="exact"/>
        <w:ind w:left="72" w:right="72"/>
        <w:jc w:val="both"/>
        <w:textAlignment w:val="baseline"/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lastRenderedPageBreak/>
        <w:t xml:space="preserve">impugnado es el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artículo 7.5.3 de la Sesión Ordinaria 43-2016 de 7 de</w:t>
      </w:r>
    </w:p>
    <w:p w:rsidR="00000000" w:rsidRDefault="00514173">
      <w:pPr>
        <w:tabs>
          <w:tab w:val="left" w:pos="2880"/>
        </w:tabs>
        <w:kinsoku w:val="0"/>
        <w:overflowPunct w:val="0"/>
        <w:autoSpaceDE/>
        <w:autoSpaceDN/>
        <w:adjustRightInd/>
        <w:spacing w:before="34" w:line="264" w:lineRule="exact"/>
        <w:ind w:left="72" w:right="72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setiembre de 2016.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z w:val="22"/>
          <w:szCs w:val="22"/>
          <w:lang w:val="es-ES" w:eastAsia="es-ES"/>
        </w:rPr>
        <w:t>(Léase folio 83 del expediente administrativo)</w:t>
      </w:r>
    </w:p>
    <w:p w:rsidR="00000000" w:rsidRDefault="00514173">
      <w:pPr>
        <w:kinsoku w:val="0"/>
        <w:overflowPunct w:val="0"/>
        <w:autoSpaceDE/>
        <w:autoSpaceDN/>
        <w:adjustRightInd/>
        <w:spacing w:before="268" w:line="264" w:lineRule="exact"/>
        <w:ind w:left="72" w:right="72"/>
        <w:jc w:val="both"/>
        <w:textAlignment w:val="baseline"/>
        <w:rPr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Dado prevención que le hiciera es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te Tribunal al Consejo de Transporte Público, éste eleva el 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artículo 7.5.3 de la Sesión Ordinaria 43-2016 de 7 de setiembre de 2016,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verificándose que efectivamente en este acto se le caduca la concesión al recurrente. (Léase folio 89 del expediente admini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strativo)</w:t>
      </w:r>
    </w:p>
    <w:p w:rsidR="00000000" w:rsidRDefault="00514173">
      <w:pPr>
        <w:kinsoku w:val="0"/>
        <w:overflowPunct w:val="0"/>
        <w:autoSpaceDE/>
        <w:autoSpaceDN/>
        <w:adjustRightInd/>
        <w:spacing w:before="268" w:line="238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SEXTO: </w:t>
      </w:r>
      <w:r>
        <w:rPr>
          <w:rFonts w:ascii="Verdana" w:hAnsi="Verdana" w:cs="Verdana"/>
          <w:sz w:val="22"/>
          <w:szCs w:val="22"/>
          <w:lang w:val="es-ES" w:eastAsia="es-ES"/>
        </w:rPr>
        <w:t>En los procedimientos seguidos se han observado las prescripciones legales.</w:t>
      </w:r>
    </w:p>
    <w:p w:rsidR="00000000" w:rsidRDefault="00514173">
      <w:pPr>
        <w:kinsoku w:val="0"/>
        <w:overflowPunct w:val="0"/>
        <w:autoSpaceDE/>
        <w:autoSpaceDN/>
        <w:adjustRightInd/>
        <w:spacing w:before="548" w:line="264" w:lineRule="exact"/>
        <w:ind w:left="72" w:right="72"/>
        <w:textAlignment w:val="baseline"/>
        <w:rPr>
          <w:rFonts w:ascii="Verdana" w:hAnsi="Verdana" w:cs="Verdana"/>
          <w:spacing w:val="-1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Redacta la Jueza Pérez Peláez; y,</w:t>
      </w:r>
    </w:p>
    <w:p w:rsidR="00000000" w:rsidRDefault="00514173">
      <w:pPr>
        <w:kinsoku w:val="0"/>
        <w:overflowPunct w:val="0"/>
        <w:autoSpaceDE/>
        <w:autoSpaceDN/>
        <w:adjustRightInd/>
        <w:spacing w:before="525" w:line="263" w:lineRule="exact"/>
        <w:ind w:left="72" w:right="72"/>
        <w:jc w:val="center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CONSIDERANDO UNICO</w:t>
      </w:r>
    </w:p>
    <w:p w:rsidR="00000000" w:rsidRDefault="00514173">
      <w:pPr>
        <w:kinsoku w:val="0"/>
        <w:overflowPunct w:val="0"/>
        <w:autoSpaceDE/>
        <w:autoSpaceDN/>
        <w:adjustRightInd/>
        <w:spacing w:before="279" w:line="264" w:lineRule="exact"/>
        <w:ind w:left="72" w:right="72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Al analizar las piezas del presente expediente, es claro que el señor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.E.G.R.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, cé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dula de identidad número 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incurre en un error material al indicar que recurre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artículo 7.5.1 de la Sesión Ordinaria 43-2016 de 7 de setiembre de 2016, cuando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realmente el que recurría era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acuerdo 7.5.3 de la misma Sesión.</w:t>
      </w:r>
    </w:p>
    <w:p w:rsidR="00000000" w:rsidRDefault="00514173">
      <w:pPr>
        <w:kinsoku w:val="0"/>
        <w:overflowPunct w:val="0"/>
        <w:autoSpaceDE/>
        <w:autoSpaceDN/>
        <w:adjustRightInd/>
        <w:spacing w:before="278" w:line="264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Es claro que ese e</w:t>
      </w:r>
      <w:r>
        <w:rPr>
          <w:rFonts w:ascii="Verdana" w:hAnsi="Verdana" w:cs="Verdana"/>
          <w:sz w:val="22"/>
          <w:szCs w:val="22"/>
          <w:lang w:val="es-ES" w:eastAsia="es-ES"/>
        </w:rPr>
        <w:t>rror lo podría haber evidenciado el Consejo de Transporte Público, con solo una revisión de' sus archivos pues es claro que hasta en la misma sesión se dispone la caducid</w:t>
      </w:r>
      <w:r w:rsidR="008F7A45">
        <w:rPr>
          <w:rFonts w:ascii="Verdana" w:hAnsi="Verdana" w:cs="Verdana"/>
          <w:sz w:val="22"/>
          <w:szCs w:val="22"/>
          <w:lang w:val="es-ES" w:eastAsia="es-ES"/>
        </w:rPr>
        <w:t>a</w:t>
      </w:r>
      <w:r>
        <w:rPr>
          <w:rFonts w:ascii="Verdana" w:hAnsi="Verdana" w:cs="Verdana"/>
          <w:sz w:val="22"/>
          <w:szCs w:val="22"/>
          <w:lang w:val="es-ES" w:eastAsia="es-ES"/>
        </w:rPr>
        <w:t>d de la concesión del recurrente.</w:t>
      </w:r>
    </w:p>
    <w:p w:rsidR="00000000" w:rsidRDefault="00514173">
      <w:pPr>
        <w:kinsoku w:val="0"/>
        <w:overflowPunct w:val="0"/>
        <w:autoSpaceDE/>
        <w:autoSpaceDN/>
        <w:adjustRightInd/>
        <w:spacing w:before="258" w:line="264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Esto debió hacerlo el Consejo basándose en el Princ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ipio de Eficiencia e Informalismo, de Justica pronta y cumplida en favor del administrado a quien le asiste un derecho a la doble instancia, de conformidad con lo dispuesto en el artículo 348 de la Ley General de la </w:t>
      </w:r>
      <w:r w:rsidR="008F7A45">
        <w:rPr>
          <w:rFonts w:ascii="Verdana" w:hAnsi="Verdana" w:cs="Verdana"/>
          <w:sz w:val="22"/>
          <w:szCs w:val="22"/>
          <w:lang w:val="es-ES" w:eastAsia="es-ES"/>
        </w:rPr>
        <w:t>Administración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 Pública, el cual dispone </w:t>
      </w:r>
      <w:r>
        <w:rPr>
          <w:rFonts w:ascii="Verdana" w:hAnsi="Verdana" w:cs="Verdana"/>
          <w:sz w:val="22"/>
          <w:szCs w:val="22"/>
          <w:lang w:val="es-ES" w:eastAsia="es-ES"/>
        </w:rPr>
        <w:t>que los recursos no requieren una redacción ni una pretensión especial y bastará para su correcta formulación que de su texto se infiera claramente la petición de revisión.</w:t>
      </w:r>
    </w:p>
    <w:p w:rsidR="00000000" w:rsidRDefault="00514173">
      <w:pPr>
        <w:kinsoku w:val="0"/>
        <w:overflowPunct w:val="0"/>
        <w:autoSpaceDE/>
        <w:autoSpaceDN/>
        <w:adjustRightInd/>
        <w:spacing w:before="297" w:line="264" w:lineRule="exact"/>
        <w:ind w:left="72" w:right="72"/>
        <w:jc w:val="both"/>
        <w:textAlignment w:val="baseline"/>
        <w:rPr>
          <w:rFonts w:ascii="Verdana" w:hAnsi="Verdana" w:cs="Verdana"/>
          <w:spacing w:val="-1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Resolver el caso como se hizo basándose en el hecho de que el acuerdo impugnado no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se relacionaba con el recurrente, sin ni siquiera girarle una prevención, es valerse de un error burdo y fácilmente evidenciable, en perjuicio del derecho del recurrente a que se le valore en una primera instancia sus argumentos y se eleve en alzada el lib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elo una vez conocido lo pertinente.</w:t>
      </w:r>
    </w:p>
    <w:p w:rsidR="00000000" w:rsidRDefault="00514173">
      <w:pPr>
        <w:kinsoku w:val="0"/>
        <w:overflowPunct w:val="0"/>
        <w:autoSpaceDE/>
        <w:autoSpaceDN/>
        <w:adjustRightInd/>
        <w:spacing w:before="266" w:after="882" w:line="271" w:lineRule="exact"/>
        <w:ind w:left="72" w:right="72"/>
        <w:jc w:val="both"/>
        <w:textAlignment w:val="baseline"/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Este Tribunal considera pertinente la anulación del acto que rechazó el Recurso de Revocatoria y devolver el asunto al Consejo de Transporte Público, para que como corresponde proceda a conocer el Recurso de Revocatoria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presentado por el señor 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E</w:t>
      </w:r>
      <w:r w:rsidR="008F7A45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.E.G.R.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, cédula de identidad número </w:t>
      </w:r>
      <w:r w:rsidR="008F7A45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, contra el artículo 7.5.3 de la Sesión Ordinaria 43-2016 de 7 de setiembre de 2016, según consta en la respuesta dada a este Tribunal</w:t>
      </w:r>
    </w:p>
    <w:p w:rsidR="00000000" w:rsidRDefault="00514173">
      <w:pPr>
        <w:widowControl/>
        <w:rPr>
          <w:sz w:val="24"/>
          <w:szCs w:val="24"/>
        </w:rPr>
        <w:sectPr w:rsidR="00000000">
          <w:pgSz w:w="12274" w:h="15725"/>
          <w:pgMar w:top="1280" w:right="1612" w:bottom="329" w:left="1622" w:header="720" w:footer="720" w:gutter="0"/>
          <w:cols w:space="720"/>
          <w:noEndnote/>
        </w:sectPr>
      </w:pPr>
    </w:p>
    <w:p w:rsidR="00000000" w:rsidRDefault="00514173">
      <w:pPr>
        <w:widowControl/>
        <w:rPr>
          <w:sz w:val="24"/>
          <w:szCs w:val="24"/>
        </w:rPr>
        <w:sectPr w:rsidR="00000000">
          <w:type w:val="continuous"/>
          <w:pgSz w:w="12274" w:h="15725"/>
          <w:pgMar w:top="1280" w:right="1701" w:bottom="329" w:left="7493" w:header="720" w:footer="720" w:gutter="0"/>
          <w:cols w:space="720"/>
          <w:noEndnote/>
        </w:sectPr>
      </w:pPr>
    </w:p>
    <w:p w:rsidR="00000000" w:rsidRDefault="00514173">
      <w:pPr>
        <w:kinsoku w:val="0"/>
        <w:overflowPunct w:val="0"/>
        <w:autoSpaceDE/>
        <w:autoSpaceDN/>
        <w:adjustRightInd/>
        <w:spacing w:before="8" w:line="260" w:lineRule="exact"/>
        <w:ind w:right="360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lastRenderedPageBreak/>
        <w:t>por el recurrente y que consta a folio 83 del expediente administrativo TAT-198-16</w:t>
      </w:r>
    </w:p>
    <w:p w:rsidR="00000000" w:rsidRDefault="00514173">
      <w:pPr>
        <w:kinsoku w:val="0"/>
        <w:overflowPunct w:val="0"/>
        <w:autoSpaceDE/>
        <w:autoSpaceDN/>
        <w:adjustRightInd/>
        <w:spacing w:before="554" w:line="265" w:lineRule="exact"/>
        <w:ind w:right="360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En el caso de que el Recurso de Revocatoria resultare desestimado por el CTP, se procederá a elevar el Recurso de Apelación a este Tr</w:t>
      </w:r>
      <w:r>
        <w:rPr>
          <w:rFonts w:ascii="Verdana" w:hAnsi="Verdana" w:cs="Verdana"/>
          <w:sz w:val="22"/>
          <w:szCs w:val="22"/>
          <w:lang w:val="es-ES" w:eastAsia="es-ES"/>
        </w:rPr>
        <w:t>ibunal, por lo que en este momento no se hace referencia alguna a los alegatos de fondo referidos por el recurrente.</w:t>
      </w:r>
    </w:p>
    <w:p w:rsidR="00000000" w:rsidRDefault="00514173">
      <w:pPr>
        <w:kinsoku w:val="0"/>
        <w:overflowPunct w:val="0"/>
        <w:autoSpaceDE/>
        <w:autoSpaceDN/>
        <w:adjustRightInd/>
        <w:spacing w:before="275" w:line="260" w:lineRule="exact"/>
        <w:jc w:val="center"/>
        <w:textAlignment w:val="baseline"/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POR TANTO</w:t>
      </w:r>
    </w:p>
    <w:p w:rsidR="00000000" w:rsidRDefault="0051417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545" w:line="269" w:lineRule="exact"/>
        <w:ind w:right="360"/>
        <w:jc w:val="both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Se anula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acuerdo 7.14.21 de la Sesión Ordinaria 60-2016 de 30 de noviembre de 2016, </w:t>
      </w:r>
      <w:r>
        <w:rPr>
          <w:rFonts w:ascii="Verdana" w:hAnsi="Verdana" w:cs="Verdana"/>
          <w:sz w:val="22"/>
          <w:szCs w:val="22"/>
          <w:lang w:val="es-ES" w:eastAsia="es-ES"/>
        </w:rPr>
        <w:t>y proceda el Consejo a conocer en pr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imera instancia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Recurso de Revocatoria con Apelación en subsidio, Nulidad concomitante y acción de prescripción,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interpuesto por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.E.G.R.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cédula de identidad número </w:t>
      </w:r>
      <w:r w:rsidR="008F7A45">
        <w:rPr>
          <w:rFonts w:ascii="Verdana" w:hAnsi="Verdana" w:cs="Verdana"/>
          <w:b/>
          <w:bCs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contra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artículo 7.5.3 de la Sesión Ordinaria 43-2016 de 7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 de setiembre de 2016, </w:t>
      </w:r>
      <w:r>
        <w:rPr>
          <w:rFonts w:ascii="Verdana" w:hAnsi="Verdana" w:cs="Verdana"/>
          <w:sz w:val="22"/>
          <w:szCs w:val="22"/>
          <w:lang w:val="es-ES" w:eastAsia="es-ES"/>
        </w:rPr>
        <w:t>dictado por la Junta Directiva del Consejo de Transporte Público.</w:t>
      </w:r>
    </w:p>
    <w:p w:rsidR="00000000" w:rsidRPr="008F7A45" w:rsidRDefault="008F7A45" w:rsidP="008F7A4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68" w:after="470" w:line="260" w:lineRule="exact"/>
        <w:jc w:val="both"/>
        <w:textAlignment w:val="baseline"/>
        <w:rPr>
          <w:sz w:val="24"/>
          <w:szCs w:val="24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NOTIFIQUESE. </w:t>
      </w:r>
    </w:p>
    <w:p w:rsidR="008F7A45" w:rsidRDefault="008F7A45" w:rsidP="008F7A45">
      <w:pPr>
        <w:kinsoku w:val="0"/>
        <w:overflowPunct w:val="0"/>
        <w:autoSpaceDE/>
        <w:autoSpaceDN/>
        <w:adjustRightInd/>
        <w:spacing w:before="268" w:after="470" w:line="260" w:lineRule="exact"/>
        <w:jc w:val="both"/>
        <w:textAlignment w:val="baseline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8F7A45" w:rsidRPr="00CF40A0" w:rsidRDefault="008F7A45" w:rsidP="008F7A45">
      <w:pPr>
        <w:kinsoku w:val="0"/>
        <w:overflowPunct w:val="0"/>
        <w:autoSpaceDE/>
        <w:autoSpaceDN/>
        <w:adjustRightInd/>
        <w:spacing w:after="374" w:line="320" w:lineRule="exact"/>
        <w:ind w:left="851" w:right="72" w:hanging="851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</w:t>
      </w:r>
      <w:bookmarkStart w:id="0" w:name="_GoBack"/>
      <w:bookmarkEnd w:id="0"/>
      <w:r w:rsidRPr="00CF40A0">
        <w:rPr>
          <w:rStyle w:val="CharacterStyle1"/>
          <w:i/>
          <w:iCs/>
          <w:spacing w:val="5"/>
          <w:sz w:val="26"/>
          <w:szCs w:val="26"/>
        </w:rPr>
        <w:t>los Miguel Portuguez Méndez</w:t>
      </w:r>
    </w:p>
    <w:p w:rsidR="008F7A45" w:rsidRDefault="008F7A45" w:rsidP="008F7A45">
      <w:pPr>
        <w:pStyle w:val="Style1"/>
        <w:kinsoku w:val="0"/>
        <w:overflowPunct w:val="0"/>
        <w:autoSpaceDE/>
        <w:autoSpaceDN/>
        <w:adjustRightInd/>
        <w:spacing w:after="301" w:line="288" w:lineRule="exact"/>
        <w:ind w:left="851" w:hanging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8F7A45" w:rsidRDefault="008F7A45" w:rsidP="008F7A45">
      <w:pPr>
        <w:kinsoku w:val="0"/>
        <w:overflowPunct w:val="0"/>
        <w:autoSpaceDE/>
        <w:autoSpaceDN/>
        <w:adjustRightInd/>
        <w:spacing w:before="268" w:after="470" w:line="260" w:lineRule="exact"/>
        <w:jc w:val="center"/>
        <w:textAlignment w:val="baseline"/>
        <w:rPr>
          <w:sz w:val="24"/>
          <w:szCs w:val="24"/>
        </w:rPr>
        <w:sectPr w:rsidR="008F7A45">
          <w:pgSz w:w="12274" w:h="15749"/>
          <w:pgMar w:top="1500" w:right="1229" w:bottom="224" w:left="1805" w:header="720" w:footer="720" w:gutter="0"/>
          <w:cols w:space="720"/>
          <w:noEndnote/>
        </w:sectPr>
      </w:pPr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JUEZ</w:t>
      </w:r>
    </w:p>
    <w:p w:rsidR="00514173" w:rsidRDefault="00514173" w:rsidP="008F7A45">
      <w:pPr>
        <w:tabs>
          <w:tab w:val="right" w:pos="3024"/>
        </w:tabs>
        <w:kinsoku w:val="0"/>
        <w:overflowPunct w:val="0"/>
        <w:autoSpaceDE/>
        <w:autoSpaceDN/>
        <w:adjustRightInd/>
        <w:spacing w:line="265" w:lineRule="exact"/>
        <w:textAlignment w:val="baseline"/>
        <w:rPr>
          <w:rFonts w:ascii="Verdana" w:hAnsi="Verdana" w:cs="Verdana"/>
          <w:sz w:val="22"/>
          <w:szCs w:val="22"/>
          <w:lang w:val="es-ES" w:eastAsia="es-ES"/>
        </w:rPr>
      </w:pPr>
    </w:p>
    <w:sectPr w:rsidR="00514173">
      <w:type w:val="continuous"/>
      <w:pgSz w:w="12274" w:h="15749"/>
      <w:pgMar w:top="1500" w:right="1631" w:bottom="224" w:left="75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A7E0"/>
    <w:multiLevelType w:val="singleLevel"/>
    <w:tmpl w:val="FD4E3838"/>
    <w:lvl w:ilvl="0">
      <w:start w:val="1"/>
      <w:numFmt w:val="upperRoman"/>
      <w:lvlText w:val="%1.-"/>
      <w:lvlJc w:val="left"/>
      <w:pPr>
        <w:tabs>
          <w:tab w:val="num" w:pos="432"/>
        </w:tabs>
      </w:pPr>
      <w:rPr>
        <w:rFonts w:ascii="Verdana" w:hAnsi="Verdana" w:cs="Verdana"/>
        <w:b/>
        <w:snapToGrid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</w:pPr>
        <w:rPr>
          <w:rFonts w:ascii="Verdana" w:hAnsi="Verdana" w:cs="Verdana"/>
          <w:b/>
          <w:bCs/>
          <w:snapToGrid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45"/>
    <w:rsid w:val="00514173"/>
    <w:rsid w:val="008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DBF8E"/>
  <w14:defaultImageDpi w14:val="0"/>
  <w15:docId w15:val="{DFE00CDF-983A-4E88-8D97-DD0E4C23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F7A45"/>
    <w:rPr>
      <w:lang w:val="es-CR"/>
    </w:rPr>
  </w:style>
  <w:style w:type="character" w:customStyle="1" w:styleId="CharacterStyle1">
    <w:name w:val="Character Style 1"/>
    <w:uiPriority w:val="99"/>
    <w:rsid w:val="008F7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2017-03-28T18:40:00Z</dcterms:created>
  <dcterms:modified xsi:type="dcterms:W3CDTF">2017-03-28T18:40:00Z</dcterms:modified>
</cp:coreProperties>
</file>